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06" w:rsidRDefault="009705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70506" w:rsidRDefault="00D23CC1" w:rsidP="00D23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16"/>
          <w:szCs w:val="16"/>
        </w:rPr>
      </w:pPr>
      <w:r w:rsidRPr="00D23CC1">
        <w:rPr>
          <w:rFonts w:eastAsia="Calibri"/>
        </w:rPr>
        <w:drawing>
          <wp:inline distT="0" distB="0" distL="0" distR="0">
            <wp:extent cx="6210300" cy="2240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</w:p>
    <w:p w:rsidR="00970506" w:rsidRDefault="00C202AB">
      <w:pPr>
        <w:pStyle w:val="Titolo3"/>
        <w:tabs>
          <w:tab w:val="left" w:pos="0"/>
        </w:tabs>
        <w:jc w:val="center"/>
        <w:rPr>
          <w:sz w:val="48"/>
          <w:szCs w:val="48"/>
        </w:rPr>
      </w:pPr>
      <w:r>
        <w:pict>
          <v:rect id="_x0000_i1025" style="width:0;height:1.5pt" o:hralign="center" o:hrstd="t" o:hr="t" fillcolor="#a0a0a0" stroked="f"/>
        </w:pict>
      </w:r>
      <w:r>
        <w:rPr>
          <w:sz w:val="48"/>
          <w:szCs w:val="48"/>
        </w:rPr>
        <w:t>Piano Didattico Personalizzato per studenti con Disturbi Evolutivi Specifici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>
        <w:pict>
          <v:rect id="_x0000_i1026" style="width:0;height:1.5pt" o:hralign="center" o:hrstd="t" o:hr="t" fillcolor="#a0a0a0" stroked="f"/>
        </w:pict>
      </w:r>
    </w:p>
    <w:p w:rsidR="00970506" w:rsidRDefault="00C202AB">
      <w:pPr>
        <w:pStyle w:val="Titolo1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4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</w:p>
    <w:p w:rsidR="00970506" w:rsidRDefault="00C202AB">
      <w:pPr>
        <w:pStyle w:val="Titolo5"/>
        <w:tabs>
          <w:tab w:val="left" w:pos="0"/>
        </w:tabs>
        <w:jc w:val="both"/>
        <w:rPr>
          <w:sz w:val="40"/>
          <w:szCs w:val="40"/>
        </w:rPr>
      </w:pPr>
      <w:r>
        <w:rPr>
          <w:sz w:val="32"/>
          <w:szCs w:val="32"/>
          <w:u w:val="single"/>
        </w:rPr>
        <w:t>ALLIEVO</w:t>
      </w:r>
      <w:r>
        <w:rPr>
          <w:sz w:val="32"/>
          <w:szCs w:val="32"/>
        </w:rPr>
        <w:t>:</w:t>
      </w:r>
      <w:r>
        <w:rPr>
          <w:sz w:val="28"/>
          <w:szCs w:val="28"/>
        </w:rPr>
        <w:t xml:space="preserve"> 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40"/>
          <w:szCs w:val="40"/>
        </w:rPr>
      </w:pPr>
      <w:r>
        <w:rPr>
          <w:b/>
          <w:sz w:val="32"/>
          <w:szCs w:val="32"/>
          <w:u w:val="single"/>
        </w:rPr>
        <w:t>CLASSE</w:t>
      </w:r>
      <w:r>
        <w:rPr>
          <w:b/>
          <w:sz w:val="32"/>
          <w:szCs w:val="32"/>
        </w:rPr>
        <w:t>:</w:t>
      </w:r>
      <w:r>
        <w:rPr>
          <w:b/>
          <w:sz w:val="40"/>
          <w:szCs w:val="40"/>
        </w:rPr>
        <w:t xml:space="preserve"> 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Sezione 1: DATI GENERALI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tbl>
      <w:tblPr>
        <w:tblStyle w:val="a0"/>
        <w:tblW w:w="14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7575"/>
      </w:tblGrid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Nome e cognome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Data di nascita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Classe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Insegnante coordinatore della classe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Certificazione/Diagnosi medico-specialistica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Interventi pregressi e/o contemporanei al percorso scolastico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Scolarizzazione pregressa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970506">
        <w:tc>
          <w:tcPr>
            <w:tcW w:w="6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Rapporti scuola-famiglia</w:t>
            </w:r>
          </w:p>
        </w:tc>
        <w:tc>
          <w:tcPr>
            <w:tcW w:w="7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9637"/>
        </w:tabs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Sezione 2: CERTIFICAZIONE/ DIAGNOSI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</w:rPr>
      </w:pPr>
      <w:r>
        <w:rPr>
          <w:b/>
        </w:rPr>
        <w:t>2.1: TIPOLOGIA DI DISTURBO SPECIFICO DI APPRENDIMENTO</w:t>
      </w:r>
      <w:r>
        <w:rPr>
          <w:b/>
          <w:vertAlign w:val="superscript"/>
        </w:rPr>
        <w:footnoteReference w:id="1"/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-573" w:firstLine="573"/>
      </w:pPr>
      <w:proofErr w:type="gramStart"/>
      <w:r>
        <w:rPr>
          <w:rFonts w:ascii="Arial" w:eastAsia="Arial" w:hAnsi="Arial" w:cs="Arial"/>
        </w:rPr>
        <w:t>◻</w:t>
      </w:r>
      <w:r>
        <w:t xml:space="preserve">  Dislessia</w:t>
      </w:r>
      <w:proofErr w:type="gramEnd"/>
      <w:r>
        <w:tab/>
      </w:r>
      <w:r>
        <w:tab/>
        <w:t>di grado</w:t>
      </w:r>
      <w:r>
        <w:tab/>
      </w:r>
      <w:r>
        <w:rPr>
          <w:rFonts w:ascii="Arial" w:eastAsia="Arial" w:hAnsi="Arial" w:cs="Arial"/>
        </w:rPr>
        <w:t>◻</w:t>
      </w:r>
      <w:r>
        <w:t xml:space="preserve"> lieve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medio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severo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73" w:firstLine="573"/>
      </w:pPr>
      <w:proofErr w:type="gramStart"/>
      <w:r>
        <w:rPr>
          <w:rFonts w:ascii="Arial" w:eastAsia="Arial" w:hAnsi="Arial" w:cs="Arial"/>
        </w:rPr>
        <w:t>◻</w:t>
      </w:r>
      <w:r>
        <w:t xml:space="preserve">  Disgrafia</w:t>
      </w:r>
      <w:proofErr w:type="gramEnd"/>
      <w:r>
        <w:tab/>
      </w:r>
      <w:r>
        <w:tab/>
        <w:t>di grado</w:t>
      </w:r>
      <w:r>
        <w:tab/>
      </w:r>
      <w:r>
        <w:rPr>
          <w:rFonts w:ascii="Arial" w:eastAsia="Arial" w:hAnsi="Arial" w:cs="Arial"/>
        </w:rPr>
        <w:t>◻</w:t>
      </w:r>
      <w:r>
        <w:t xml:space="preserve"> lieve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medio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severo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73" w:firstLine="573"/>
      </w:pPr>
      <w:proofErr w:type="gramStart"/>
      <w:r>
        <w:rPr>
          <w:rFonts w:ascii="Arial" w:eastAsia="Arial" w:hAnsi="Arial" w:cs="Arial"/>
        </w:rPr>
        <w:t>◻</w:t>
      </w:r>
      <w:r>
        <w:t xml:space="preserve">  Disortografia</w:t>
      </w:r>
      <w:proofErr w:type="gramEnd"/>
      <w:r>
        <w:tab/>
        <w:t>di grado</w:t>
      </w:r>
      <w:r>
        <w:tab/>
      </w:r>
      <w:r>
        <w:rPr>
          <w:rFonts w:ascii="Arial" w:eastAsia="Arial" w:hAnsi="Arial" w:cs="Arial"/>
        </w:rPr>
        <w:t>◻</w:t>
      </w:r>
      <w:r>
        <w:t xml:space="preserve"> lieve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medio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severo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73" w:firstLine="573"/>
      </w:pPr>
      <w:proofErr w:type="gramStart"/>
      <w:r>
        <w:rPr>
          <w:rFonts w:ascii="Arial" w:eastAsia="Arial" w:hAnsi="Arial" w:cs="Arial"/>
        </w:rPr>
        <w:t>◻</w:t>
      </w:r>
      <w:r>
        <w:t xml:space="preserve">  Discalculia</w:t>
      </w:r>
      <w:proofErr w:type="gramEnd"/>
      <w:r>
        <w:tab/>
      </w:r>
      <w:r>
        <w:tab/>
        <w:t>di grado</w:t>
      </w:r>
      <w:r>
        <w:tab/>
      </w:r>
      <w:r>
        <w:rPr>
          <w:rFonts w:ascii="Arial" w:eastAsia="Arial" w:hAnsi="Arial" w:cs="Arial"/>
        </w:rPr>
        <w:t>◻</w:t>
      </w:r>
      <w:r>
        <w:t xml:space="preserve"> lieve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medio</w:t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severo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2.2: TIPOLOGIA DI BES</w:t>
      </w:r>
      <w:r>
        <w:rPr>
          <w:b/>
          <w:vertAlign w:val="superscript"/>
        </w:rPr>
        <w:footnoteReference w:id="2"/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>ADHD/DOP</w:t>
      </w:r>
      <w:r>
        <w:rPr>
          <w:vertAlign w:val="superscript"/>
        </w:rPr>
        <w:footnoteReference w:id="3"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rPr>
          <w:rFonts w:ascii="Arial" w:eastAsia="Arial" w:hAnsi="Arial" w:cs="Arial"/>
        </w:rPr>
        <w:t>◻</w:t>
      </w:r>
      <w:r>
        <w:t xml:space="preserve">  </w:t>
      </w:r>
      <w:r>
        <w:t>FUNZIONAMENTO</w:t>
      </w:r>
      <w:proofErr w:type="gramEnd"/>
      <w:r>
        <w:t xml:space="preserve"> COGNITIVO LIMITE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DISTURBI DEL LINGUAGGIO           </w:t>
      </w:r>
      <w:r>
        <w:tab/>
      </w:r>
      <w:r>
        <w:tab/>
        <w:t xml:space="preserve">            </w:t>
      </w:r>
      <w:r>
        <w:rPr>
          <w:rFonts w:ascii="Arial" w:eastAsia="Arial" w:hAnsi="Arial" w:cs="Arial"/>
        </w:rPr>
        <w:t>◻</w:t>
      </w:r>
      <w:r>
        <w:t xml:space="preserve"> DISTURBI NON VERBALI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DISTURBI DELLO SPETTRO AUTISTICO LIEVE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ALTRO: 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2.3: SINTESI DELLA CERTIFICAZIONE/DIAGNOSI</w:t>
      </w:r>
      <w:r>
        <w:rPr>
          <w:b/>
          <w:vertAlign w:val="superscript"/>
        </w:rPr>
        <w:footnoteReference w:id="4"/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/>
        <w:jc w:val="both"/>
        <w:rPr>
          <w:b/>
        </w:rPr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/>
        <w:jc w:val="both"/>
        <w:rPr>
          <w:b/>
        </w:rPr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3:</w:t>
      </w: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ASPETTI SIGNIFICATIVI RILEVABILI DALL’OSSERVAZIONE SISTEMATICA IN CLASSE</w:t>
      </w:r>
      <w:r>
        <w:rPr>
          <w:b/>
          <w:sz w:val="28"/>
          <w:szCs w:val="28"/>
          <w:vertAlign w:val="superscript"/>
        </w:rPr>
        <w:footnoteReference w:id="5"/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a1"/>
        <w:tblW w:w="143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2445"/>
        <w:gridCol w:w="2190"/>
        <w:gridCol w:w="2820"/>
        <w:gridCol w:w="3105"/>
      </w:tblGrid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FUNZIONALITÀ STRUMENTALI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>
              <w:rPr>
                <w:b/>
                <w:sz w:val="22"/>
                <w:szCs w:val="22"/>
              </w:rPr>
              <w:t>scrittura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</w:t>
            </w:r>
            <w:r>
              <w:rPr>
                <w:b/>
                <w:sz w:val="22"/>
                <w:szCs w:val="22"/>
              </w:rPr>
              <w:t xml:space="preserve"> logico/matematica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>
              <w:rPr>
                <w:b/>
                <w:sz w:val="22"/>
                <w:szCs w:val="22"/>
              </w:rPr>
              <w:t>linguistica</w:t>
            </w:r>
            <w:r>
              <w:rPr>
                <w:sz w:val="22"/>
                <w:szCs w:val="22"/>
              </w:rPr>
              <w:t xml:space="preserve"> (espressione orale)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</w:t>
            </w:r>
            <w:r>
              <w:rPr>
                <w:b/>
                <w:sz w:val="22"/>
                <w:szCs w:val="22"/>
              </w:rPr>
              <w:t>motorio-prassica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Molto Adeguata</w:t>
            </w:r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DIDATTICA QUOTIDIANA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mantenere l</w:t>
            </w:r>
            <w:r>
              <w:rPr>
                <w:b/>
                <w:sz w:val="22"/>
                <w:szCs w:val="22"/>
              </w:rPr>
              <w:t xml:space="preserve">’attenzione </w:t>
            </w:r>
            <w:r>
              <w:rPr>
                <w:sz w:val="22"/>
                <w:szCs w:val="22"/>
              </w:rPr>
              <w:t xml:space="preserve">durante le </w:t>
            </w:r>
            <w:r>
              <w:rPr>
                <w:b/>
                <w:sz w:val="22"/>
                <w:szCs w:val="22"/>
              </w:rPr>
              <w:t>spiegazioni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Esecuzione  dei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compiti a casa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Esecuzione delle </w:t>
            </w:r>
            <w:r>
              <w:rPr>
                <w:b/>
                <w:sz w:val="22"/>
                <w:szCs w:val="22"/>
              </w:rPr>
              <w:t xml:space="preserve">consegne </w:t>
            </w:r>
            <w:r>
              <w:rPr>
                <w:sz w:val="22"/>
                <w:szCs w:val="22"/>
              </w:rPr>
              <w:t xml:space="preserve">assegnate </w:t>
            </w:r>
            <w:r>
              <w:rPr>
                <w:b/>
                <w:sz w:val="22"/>
                <w:szCs w:val="22"/>
              </w:rPr>
              <w:t>in classe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Comprensione </w:t>
            </w:r>
            <w:r>
              <w:rPr>
                <w:sz w:val="22"/>
                <w:szCs w:val="22"/>
              </w:rPr>
              <w:t xml:space="preserve">delle </w:t>
            </w:r>
            <w:r>
              <w:rPr>
                <w:b/>
                <w:sz w:val="22"/>
                <w:szCs w:val="22"/>
              </w:rPr>
              <w:t xml:space="preserve">consegne </w:t>
            </w:r>
            <w:r>
              <w:rPr>
                <w:sz w:val="22"/>
                <w:szCs w:val="22"/>
              </w:rPr>
              <w:t>proposte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porre </w:t>
            </w:r>
            <w:r>
              <w:rPr>
                <w:b/>
                <w:sz w:val="22"/>
                <w:szCs w:val="22"/>
              </w:rPr>
              <w:t xml:space="preserve">domande pertinenti </w:t>
            </w:r>
            <w:r>
              <w:rPr>
                <w:sz w:val="22"/>
                <w:szCs w:val="22"/>
              </w:rPr>
              <w:t>all’insegnante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hanging="360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seguire lo svolgimento delle lezioni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proprio materiale scolastico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Cura </w:t>
            </w:r>
            <w:r>
              <w:rPr>
                <w:sz w:val="22"/>
                <w:szCs w:val="22"/>
              </w:rPr>
              <w:t xml:space="preserve">dei </w:t>
            </w:r>
            <w:r>
              <w:rPr>
                <w:b/>
                <w:sz w:val="22"/>
                <w:szCs w:val="22"/>
              </w:rPr>
              <w:t xml:space="preserve">materiali </w:t>
            </w:r>
            <w:r>
              <w:rPr>
                <w:sz w:val="22"/>
                <w:szCs w:val="22"/>
              </w:rPr>
              <w:t>per le attività scolastiche (propri e della scuola)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MOTIVAZIONE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Consapevolezza delle proprie difficoltà 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Autostima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ATTEGGIAMENTO SCOLASTICO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hanging="360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Rispetto degli impegni e delle regole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Adeguato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Sensibilità ai </w:t>
            </w:r>
            <w:r>
              <w:rPr>
                <w:b/>
                <w:sz w:val="22"/>
                <w:szCs w:val="22"/>
              </w:rPr>
              <w:t>richiami dell’insegnante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Comportamento in classe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Adeguato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adeguato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ASPETTI RELAZIONALI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relazionarsi col gruppo dei pari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97050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relazionarsi con gli adulti all’interno dell’ambiente scolastico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2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hanging="360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970506">
        <w:tc>
          <w:tcPr>
            <w:tcW w:w="143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hanging="360"/>
            </w:pPr>
            <w:r>
              <w:rPr>
                <w:sz w:val="22"/>
                <w:szCs w:val="22"/>
              </w:rPr>
              <w:t>Pronuncia difficoltosa</w:t>
            </w:r>
          </w:p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</w:pPr>
            <w:r>
              <w:rPr>
                <w:sz w:val="22"/>
                <w:szCs w:val="22"/>
              </w:rPr>
              <w:t xml:space="preserve">Difficoltà di acquisizione degli automatismi grammaticali di base </w:t>
            </w:r>
          </w:p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</w:pPr>
            <w:r>
              <w:rPr>
                <w:sz w:val="22"/>
                <w:szCs w:val="22"/>
              </w:rPr>
              <w:t xml:space="preserve">Difficoltà nella scrittura </w:t>
            </w:r>
          </w:p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</w:pPr>
            <w:r>
              <w:rPr>
                <w:sz w:val="22"/>
                <w:szCs w:val="22"/>
              </w:rPr>
              <w:t>Difficoltà acquisizione nuovo lessico</w:t>
            </w:r>
          </w:p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</w:pPr>
            <w:r>
              <w:rPr>
                <w:sz w:val="22"/>
                <w:szCs w:val="22"/>
              </w:rPr>
              <w:lastRenderedPageBreak/>
              <w:t>Notevoli differenze tra comprensione del testo scritto e orale</w:t>
            </w:r>
          </w:p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</w:pPr>
            <w:r>
              <w:rPr>
                <w:sz w:val="22"/>
                <w:szCs w:val="22"/>
              </w:rPr>
              <w:t>Notevoli differenze tra produzione scritta e orale</w:t>
            </w:r>
          </w:p>
          <w:p w:rsidR="00970506" w:rsidRDefault="00C202AB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</w:pPr>
            <w:r>
              <w:rPr>
                <w:sz w:val="22"/>
                <w:szCs w:val="22"/>
              </w:rPr>
              <w:t>Altro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2"/>
                <w:szCs w:val="22"/>
              </w:rPr>
            </w:pPr>
          </w:p>
        </w:tc>
      </w:tr>
    </w:tbl>
    <w:p w:rsidR="00970506" w:rsidRDefault="00C202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-307" w:right="-29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Sezione 4: MISURE DIDATTICHE FUNZIONALI ALL’APPRENDIMENTO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b/>
          <w:sz w:val="28"/>
          <w:szCs w:val="28"/>
        </w:rP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Tenuto conto della normativa vigente, e considerata la situazione diagnostica propria dell’alunna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in presenza di una certificazione/diagnosi di BES, il Consiglio di classe della 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>elabora il seguente Piano Didattico Personalizzato: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2"/>
        <w:tblW w:w="154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4"/>
        <w:gridCol w:w="482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1255"/>
      </w:tblGrid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47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DISPENSATIVE/STRUMENTI COMPENSATIVI</w:t>
            </w:r>
            <w:r>
              <w:rPr>
                <w:b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2"/>
                <w:szCs w:val="22"/>
                <w:highlight w:val="yellow"/>
              </w:rPr>
            </w:pPr>
          </w:p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2"/>
                <w:szCs w:val="22"/>
                <w:highlight w:val="yellow"/>
              </w:rPr>
            </w:pPr>
          </w:p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O/S/P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dispensative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lettura a voce alta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dallo studio mnemonico (ridurre la richiesta di memorizzazione di sequenze/lessico/poesie /dialoghi/formule)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per selezione dei contenuti di studio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scrittura di testi e/o appunti sotto dettatura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copiatura dalla lavagna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 compensativi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con video scrittura e correttore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Tavole / diagrammi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Calcolatrice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 lavagna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Registrazione audio/audio-video delle lezioni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br w:type="page"/>
      </w:r>
    </w:p>
    <w:tbl>
      <w:tblPr>
        <w:tblStyle w:val="a3"/>
        <w:tblW w:w="14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6"/>
        <w:gridCol w:w="4020"/>
        <w:gridCol w:w="855"/>
        <w:gridCol w:w="855"/>
        <w:gridCol w:w="855"/>
        <w:gridCol w:w="855"/>
        <w:gridCol w:w="765"/>
        <w:gridCol w:w="795"/>
        <w:gridCol w:w="765"/>
        <w:gridCol w:w="795"/>
        <w:gridCol w:w="750"/>
        <w:gridCol w:w="739"/>
      </w:tblGrid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DISPENSATIVE/STRUMENTI COMPENSATIVI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 xml:space="preserve">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Misure dispensative e Strumenti compensativi in fase di verifica 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Interrogazioni programmate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sovrapposizione di compiti e interrogazioni di più discipline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esclusivamente orali per le materie individuate dalla normativa come orali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orali specifiche a compensazione di verifiche scritte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Proporre verifiche graduate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Concordare la tipologia prevalente delle verifiche scritte in base alla tipologia del disturbo (scelta multipla, V/F, aperte)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Evitare nelle domande e nelle risposte a scelta multipla la doppia negazione e frasi di difficile interpretazione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di mediatori (es. computer) durante le prove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più lunghi per le prove scritte</w:t>
            </w:r>
            <w:r>
              <w:rPr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Riduzione/selezione della quantità di esercizi nelle verifiche scritte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 utilizzare schemi riassuntivi, mappe tematiche, mappe concettuali, schemi procedurali</w:t>
            </w:r>
            <w:r>
              <w:rPr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970506" w:rsidRDefault="00C202AB">
      <w:pPr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previa visione da parte del docente 2) o riduzione o più tempo 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4"/>
        <w:tblW w:w="146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1"/>
        <w:gridCol w:w="4863"/>
        <w:gridCol w:w="933"/>
        <w:gridCol w:w="743"/>
        <w:gridCol w:w="800"/>
        <w:gridCol w:w="799"/>
        <w:gridCol w:w="800"/>
        <w:gridCol w:w="799"/>
        <w:gridCol w:w="723"/>
        <w:gridCol w:w="799"/>
        <w:gridCol w:w="744"/>
        <w:gridCol w:w="236"/>
        <w:gridCol w:w="789"/>
      </w:tblGrid>
      <w:tr w:rsidR="00970506">
        <w:trPr>
          <w:gridAfter w:val="1"/>
          <w:wAfter w:w="804" w:type="dxa"/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18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VALUTAZIONE</w:t>
            </w:r>
          </w:p>
        </w:tc>
        <w:tc>
          <w:tcPr>
            <w:tcW w:w="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>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O/S/P</w:t>
            </w:r>
          </w:p>
        </w:tc>
        <w:tc>
          <w:tcPr>
            <w:tcW w:w="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</w:tr>
      <w:tr w:rsidR="00970506">
        <w:trPr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di valutazione</w:t>
            </w:r>
          </w:p>
        </w:tc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vengono valutati gli errori ortografici</w:t>
            </w: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valutazione delle prove scritte e orali tiene conto del contenuto e non della forma </w:t>
            </w: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prove orali hanno maggiore considerazione delle corrispondenti prove scritte</w:t>
            </w: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970506">
        <w:trPr>
          <w:jc w:val="center"/>
        </w:trPr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Tener conto nella valutazione delle difficoltà procedurali</w:t>
            </w: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rPr>
          <w:b/>
        </w:rPr>
      </w:pPr>
      <w:r>
        <w:rPr>
          <w:b/>
        </w:rPr>
        <w:t>Sezione 5: AMBIENTE EDUCATIVO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Nelle attività domestiche l’allievo: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970506" w:rsidRDefault="00C202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proofErr w:type="gramStart"/>
      <w:r>
        <w:t>E’</w:t>
      </w:r>
      <w:proofErr w:type="gramEnd"/>
      <w:r>
        <w:t xml:space="preserve"> seguito dalla famiglia </w:t>
      </w:r>
      <w:r>
        <w:t>nelle seguenti discipline: …….</w:t>
      </w:r>
    </w:p>
    <w:p w:rsidR="00970506" w:rsidRDefault="00C202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</w:pPr>
      <w:proofErr w:type="gramStart"/>
      <w:r>
        <w:t>E’</w:t>
      </w:r>
      <w:proofErr w:type="gramEnd"/>
      <w:r>
        <w:t xml:space="preserve"> </w:t>
      </w:r>
      <w:r>
        <w:t>seguito</w:t>
      </w:r>
      <w:r>
        <w:t xml:space="preserve"> da un educatore</w:t>
      </w:r>
      <w:r>
        <w:t>/</w:t>
      </w:r>
      <w:r>
        <w:t xml:space="preserve"> </w:t>
      </w:r>
      <w:r>
        <w:t>assistente</w:t>
      </w:r>
      <w:r>
        <w:t xml:space="preserve"> sociale o altra figura professionale </w:t>
      </w:r>
      <w:r>
        <w:t>…….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t>E’</w:t>
      </w:r>
      <w:proofErr w:type="gramEnd"/>
      <w:r>
        <w:t xml:space="preserve"> consigliato l’uso dei seguenti strumenti compensativi per lo studio domestico: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Il Consiglio di Classe ha espresso le misure compensative e dispensative, i criteri di verifica e il sistema di valutazione da adottare in ambito scolastico, nei quali riconoscono le strategie opportune per favorire all’alunno il successo formativo, in qua</w:t>
      </w:r>
      <w:r>
        <w:t>nto corrispondenti con le informazioni provenienti dallo specialista, dai genitori e/o dal Referente BES-DSA ai fini dell’individuazione di un percorso didattico coerente allo stile di apprendimento dell’alunno.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ind w:left="1134" w:hanging="567"/>
        <w:jc w:val="center"/>
        <w:rPr>
          <w:b/>
        </w:rPr>
      </w:pPr>
      <w:r>
        <w:rPr>
          <w:b/>
        </w:rPr>
        <w:lastRenderedPageBreak/>
        <w:t>Sezione 6: RAPPORTI CON LA FAMIGLIA E LO ST</w:t>
      </w:r>
      <w:r>
        <w:rPr>
          <w:b/>
        </w:rPr>
        <w:t>UDENTE</w:t>
      </w:r>
    </w:p>
    <w:p w:rsidR="00970506" w:rsidRDefault="009705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 xml:space="preserve">La famiglia si impegna a </w:t>
      </w:r>
    </w:p>
    <w:p w:rsidR="00970506" w:rsidRDefault="00C202A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collaborare con il corpo docente, segnalando eventuali situazioni di disagio</w:t>
      </w:r>
    </w:p>
    <w:p w:rsidR="00970506" w:rsidRDefault="00C202A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sostenere la motivazione e l’impegno dell’alunno o studente nel lavoro scolastico e nel lavoro a casa</w:t>
      </w:r>
    </w:p>
    <w:p w:rsidR="00970506" w:rsidRDefault="00C202A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verificare regolarmente lo svolgimento dei compiti assegnati</w:t>
      </w:r>
    </w:p>
    <w:p w:rsidR="00970506" w:rsidRDefault="00C202A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verificare che vengano portati a scuola i materiali richiesti</w:t>
      </w:r>
    </w:p>
    <w:p w:rsidR="00970506" w:rsidRDefault="00C202A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incoraggiare l’acquisizione di un sempre maggiore grado di autonomia nella gestione dei tempi di studio, dell’impegno scolastico e de</w:t>
      </w:r>
      <w:r>
        <w:t>lle relazioni con i docenti</w:t>
      </w:r>
    </w:p>
    <w:p w:rsidR="00970506" w:rsidRDefault="00C202A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considerare non soltanto il significato valutativo, ma anche formativo delle singole discipline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 xml:space="preserve">L’alunno si impegna a </w:t>
      </w:r>
    </w:p>
    <w:p w:rsidR="00970506" w:rsidRDefault="00C202A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 xml:space="preserve">collaborare per il raggiungimento degli obiettivi prefissati </w:t>
      </w:r>
    </w:p>
    <w:p w:rsidR="00970506" w:rsidRDefault="00C202A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chiedere aiuto quando si trova in difficoltà</w:t>
      </w:r>
    </w:p>
    <w:p w:rsidR="00970506" w:rsidRDefault="00C202A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t>fornire a docenti le informazioni che possono contribuire a comprendere le proprie difficoltà e le modalità per superarle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t xml:space="preserve">Al fine di evitare problematiche psicologiche che si potrebbero attivare nell’alunno o studente con BES per l’utilizzo degli strumenti compensativi e delle misure dispensative, </w:t>
      </w:r>
      <w:r>
        <w:rPr>
          <w:b/>
        </w:rPr>
        <w:t>si autorizza</w:t>
      </w:r>
      <w:r>
        <w:t xml:space="preserve"> il coordinatore del Consiglio di Classe ad avviare, qualora si ren</w:t>
      </w:r>
      <w:r>
        <w:t>desse necessario (anche su segnalazione della famiglia), adeguate iniziative per condividere con i compagni di classe le ragioni dell’applicazione degli strumenti e delle misure citate nel presente documento, eventualmente richiedendo la presenza del refer</w:t>
      </w:r>
      <w:r>
        <w:t>ente BES-DSA.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ind w:left="1134" w:hanging="567"/>
        <w:jc w:val="center"/>
        <w:rPr>
          <w:b/>
        </w:rPr>
      </w:pPr>
      <w:r>
        <w:br w:type="page"/>
      </w:r>
      <w:r>
        <w:rPr>
          <w:b/>
        </w:rPr>
        <w:lastRenderedPageBreak/>
        <w:t>Sezione 7: RIFERIMENTI NORMATIVI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Premessa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Riferimenti normativi per la definizione di un Piano Didattico Personalizzato per allievi con 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Disturbo Specifico dell’Apprendimento/Bisogno Educativo Speciale </w:t>
      </w:r>
      <w:r>
        <w:t>(nel seguito DSA/BES)</w:t>
      </w:r>
      <w:r>
        <w:rPr>
          <w:b/>
        </w:rPr>
        <w:t xml:space="preserve"> NON certificati ai sensi della Legge 104/92</w:t>
      </w:r>
      <w:r>
        <w:t>, sulla base delle indicazioni normative vigenti.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Il sistema educativo, in coerenza con le attitudini e le scelte personali, promuove l’apprendimento ed assicura a tutti pari opportunità di raggiungere elevati li</w:t>
      </w:r>
      <w:r>
        <w:t>velli culturali. Al fine di facilitare il percorso scolastico dell’alunno con DSA/BES e predisporre le condizioni che gli favoriscano il successo formativo si giustifica l’attivazione di un Piano Didattico Personalizzato.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La normativa precisa che:</w:t>
      </w:r>
    </w:p>
    <w:p w:rsidR="00970506" w:rsidRDefault="00C202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il termi</w:t>
      </w:r>
      <w:r>
        <w:t>ne percorso “Personalizzato” implica l’adozione di tutte le misure dispensative e compensative, appropriate all’entità ed al profilo della difficoltà propria di ogni singolo caso, coerentemente con quanto indicato della nota M.I.U.R. n. 4099/A/4 del 5.10.2</w:t>
      </w:r>
      <w:r>
        <w:t>004</w:t>
      </w:r>
    </w:p>
    <w:p w:rsidR="00970506" w:rsidRDefault="00C202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la valutazione delle prove (verifiche orali e scritte) dovrà essere fatta, in coerenza con i provvedimenti dispensativi e compensativi adottati, in tutte le fasi del percorso scolastico (Nota MIUR n. 26/A/4 del 5.01.2005) sulla base del Percorso Person</w:t>
      </w:r>
      <w:r>
        <w:t>alizzato predisposto per l’alunno.</w:t>
      </w:r>
    </w:p>
    <w:p w:rsidR="00970506" w:rsidRDefault="00C202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riguardo alle prove d’esame, poiché esse costituiscono la condizione di valutazione di un percorso scolastico, le Commissioni esaminatrici sono invitate ad adottare, “nel quadro e nel rispetto elle regole generali che dis</w:t>
      </w:r>
      <w:r>
        <w:t>ciplinano la materia degli esami, ogni opportuna iniziativa, idonea a ridurre il più possibile le difficoltà degli studenti</w:t>
      </w:r>
      <w:r>
        <w:rPr>
          <w:i/>
        </w:rPr>
        <w:t>”</w:t>
      </w:r>
      <w:r>
        <w:t xml:space="preserve"> (nota MIUR n. 1787 del 1.03.2006).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Estratto dalla normativa di riferimento generale: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517/77 art.2 e 7: integrazione scolastica, individualizzazione degli interventi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59/97: autonomia didattica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DPR 275/99 art. 4: autonomia didattica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53/03: personalizzazione del percorso scolastico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Estratto dalla normativa di riferimento specifica: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4099/A/4 del 5.10.04: Iniziative relative alla Dislessia (strumenti compensativi-dispensativi)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n. 26/A/4 del 5.01.04: Iniziative relative alla Dislessia (utilizzo strumenti compensativi</w:t>
      </w:r>
      <w:r>
        <w:t>-dispensativi anche in presenza di diagnosi)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Nota MIUR n.1787 del 1.03.05 e </w:t>
      </w:r>
      <w:proofErr w:type="spellStart"/>
      <w:r>
        <w:t>s.m</w:t>
      </w:r>
      <w:proofErr w:type="spellEnd"/>
      <w:r>
        <w:t>.: Esami di Stato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n.4798 del 27.07.05: Integrazione scolastica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C.M. n. 4674 del 10 Maggio 2007: Disturbi di apprendimento (compensazione orale della lingua non materna</w:t>
      </w:r>
      <w:r>
        <w:t>)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Prot.400/A36/a del 4 Febbraio 2009: Nota sui Disturbi Specifici dell’Apprendimento del Dirigente USP di Imperia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MIUR Prot.n.5744 del 28 Maggio 2009: Esami di Stato per gli alunni affetti da Disturbi Specifici di Apprendimento D.S.A.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DPR 122 del 22 Giugno</w:t>
      </w:r>
      <w:r>
        <w:t xml:space="preserve"> 2009: Valutazione degli alunni con difficoltà specifica di apprendimento (D.S.A.)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L. R. Liguria n° 3 del 15/02/2010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L. n° 170 del 08/10/2010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Decreti attuativi da Luglio 2011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Direttiva MIUR 27/12/2012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Circolare Ministeriale n. 8 Prot. 561 del 06/03/2013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</w:t>
      </w:r>
      <w:r>
        <w:t>ta Ministeriale prot. 2563 del 22/11/2013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lastRenderedPageBreak/>
        <w:t>DM n. 741 del 3 ottobre 2017: Esame di stato conclusivo del primo ciclo di istruzione.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OM n. 350 del 2 maggio 2018: Istruzioni e modalità organizzative ed operative per lo svolgimento degli esami di Stato conclusivi dei corsi di studio di istruzione secondaria di secondo grado nelle scuole statali e paritarie Anno scolastico 2017/2018.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DM n.</w:t>
      </w:r>
      <w:r>
        <w:t xml:space="preserve"> 741 del 3 ottobre 2017: Esame di stato conclusivo del primo ciclo di istruzione.</w:t>
      </w:r>
    </w:p>
    <w:p w:rsidR="00970506" w:rsidRDefault="00C20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OM n. 350 del 2 maggio 2018: Istruzioni e modalità organizzative ed operative per lo svolgimento degli esami di Stato conclusivi dei corsi di studio di istruzione secondaria </w:t>
      </w:r>
      <w:r>
        <w:t>di secondo grado nelle scuole statali e paritarie Anno scolastico 2017/2018.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IL PRESENTE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 xml:space="preserve">IANO </w:t>
      </w:r>
      <w:r>
        <w:rPr>
          <w:b/>
          <w:sz w:val="36"/>
          <w:szCs w:val="36"/>
        </w:rPr>
        <w:t>D</w:t>
      </w:r>
      <w:r>
        <w:rPr>
          <w:sz w:val="28"/>
          <w:szCs w:val="28"/>
        </w:rPr>
        <w:t>idattico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>ERSONALIZZATO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>È STATO CONCORDATO E REDATTO DA: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Coordinatore di Classe</w:t>
      </w:r>
    </w:p>
    <w:tbl>
      <w:tblPr>
        <w:tblStyle w:val="a5"/>
        <w:tblW w:w="4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6"/>
      </w:tblGrid>
      <w:tr w:rsidR="00970506">
        <w:tc>
          <w:tcPr>
            <w:tcW w:w="47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Docenti del Consiglio di classe</w:t>
      </w:r>
      <w:r>
        <w:t xml:space="preserve">: </w:t>
      </w:r>
    </w:p>
    <w:tbl>
      <w:tblPr>
        <w:tblStyle w:val="a6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4889"/>
      </w:tblGrid>
      <w:tr w:rsidR="00970506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970506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970506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970506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970506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970506" w:rsidRDefault="00970506">
      <w:pPr>
        <w:pBdr>
          <w:top w:val="nil"/>
          <w:left w:val="nil"/>
          <w:bottom w:val="nil"/>
          <w:right w:val="nil"/>
          <w:between w:val="nil"/>
        </w:pBdr>
      </w:pPr>
    </w:p>
    <w:p w:rsidR="00970506" w:rsidRDefault="00C202AB">
      <w:pPr>
        <w:pStyle w:val="Titolo3"/>
        <w:tabs>
          <w:tab w:val="left" w:pos="3969"/>
        </w:tabs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Referente INCLUSIONE (BES/DSA)</w:t>
      </w:r>
      <w:r>
        <w:rPr>
          <w:rFonts w:ascii="Times New Roman" w:eastAsia="Times New Roman" w:hAnsi="Times New Roman" w:cs="Times New Roman"/>
          <w:b w:val="0"/>
        </w:rPr>
        <w:tab/>
      </w:r>
    </w:p>
    <w:tbl>
      <w:tblPr>
        <w:tblStyle w:val="a7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891"/>
      </w:tblGrid>
      <w:tr w:rsidR="00970506">
        <w:tc>
          <w:tcPr>
            <w:tcW w:w="4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506" w:rsidRDefault="00C2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Amoretti Caterina</w:t>
            </w:r>
          </w:p>
        </w:tc>
        <w:tc>
          <w:tcPr>
            <w:tcW w:w="48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L’alunno</w:t>
      </w:r>
      <w:r>
        <w:t xml:space="preserve"> </w:t>
      </w:r>
    </w:p>
    <w:tbl>
      <w:tblPr>
        <w:tblStyle w:val="a8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891"/>
      </w:tblGrid>
      <w:tr w:rsidR="00970506">
        <w:tc>
          <w:tcPr>
            <w:tcW w:w="4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48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506" w:rsidRDefault="0097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970506" w:rsidRDefault="00970506">
      <w:pPr>
        <w:pBdr>
          <w:top w:val="nil"/>
          <w:left w:val="nil"/>
          <w:bottom w:val="nil"/>
          <w:right w:val="nil"/>
          <w:between w:val="nil"/>
        </w:pBdr>
      </w:pPr>
    </w:p>
    <w:p w:rsidR="00970506" w:rsidRDefault="00C202AB">
      <w:pPr>
        <w:pStyle w:val="Titolo3"/>
        <w:tabs>
          <w:tab w:val="left" w:pos="3969"/>
        </w:tabs>
        <w:rPr>
          <w:b w:val="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Genitori</w:t>
      </w:r>
      <w:r>
        <w:t xml:space="preserve">         </w:t>
      </w:r>
      <w:r>
        <w:rPr>
          <w:b w:val="0"/>
        </w:rPr>
        <w:t>………………………………</w:t>
      </w:r>
      <w:r>
        <w:rPr>
          <w:b w:val="0"/>
        </w:rPr>
        <w:t xml:space="preserve">…      </w:t>
      </w:r>
      <w:r>
        <w:rPr>
          <w:b w:val="0"/>
        </w:rPr>
        <w:t>………………………………………..</w:t>
      </w:r>
    </w:p>
    <w:p w:rsidR="00970506" w:rsidRDefault="0097050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</w:pP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IL DIRIGENTE SCOLASTICO 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379"/>
        </w:tabs>
        <w:jc w:val="both"/>
      </w:pPr>
      <w:r>
        <w:tab/>
        <w:t xml:space="preserve"> Prof.</w:t>
      </w:r>
      <w:r>
        <w:t xml:space="preserve"> Giovanni Battista Siffredi</w:t>
      </w:r>
    </w:p>
    <w:p w:rsidR="00970506" w:rsidRDefault="00C20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rect id="_x0000_i1027" style="width:0;height:1.5pt" o:hralign="center" o:hrstd="t" o:hr="t" fillcolor="#a0a0a0" stroked="f"/>
        </w:pict>
      </w:r>
    </w:p>
    <w:sectPr w:rsidR="00970506">
      <w:headerReference w:type="default" r:id="rId8"/>
      <w:footerReference w:type="default" r:id="rId9"/>
      <w:pgSz w:w="16838" w:h="11906" w:orient="landscape"/>
      <w:pgMar w:top="850" w:right="1133" w:bottom="85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AB" w:rsidRDefault="00C202AB">
      <w:r>
        <w:separator/>
      </w:r>
    </w:p>
  </w:endnote>
  <w:endnote w:type="continuationSeparator" w:id="0">
    <w:p w:rsidR="00C202AB" w:rsidRDefault="00C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506" w:rsidRDefault="0097050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AB" w:rsidRDefault="00C202AB">
      <w:r>
        <w:separator/>
      </w:r>
    </w:p>
  </w:footnote>
  <w:footnote w:type="continuationSeparator" w:id="0">
    <w:p w:rsidR="00C202AB" w:rsidRDefault="00C202AB">
      <w:r>
        <w:continuationSeparator/>
      </w:r>
    </w:p>
  </w:footnote>
  <w:footnote w:id="1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Qualora assente il disturbo, studente con BES non rientrante nella L. 170/2010, indicato in Sezione 2.2; 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qualora assente il grado, non indicato in diagnosi.</w:t>
      </w:r>
    </w:p>
  </w:footnote>
  <w:footnote w:id="2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Eventualmente in comorbilità con DSA indicato in Sezione 2.1</w:t>
      </w:r>
    </w:p>
  </w:footnote>
  <w:footnote w:id="3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ADHD: Disturbo da Deficit dell’Attenzione e Iperattività; DOP: Disturbo Oppositivo Provocatorio</w:t>
      </w:r>
    </w:p>
  </w:footnote>
  <w:footnote w:id="4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Conclusioni dello specialista o, in caso in cui queste siano assenti, altri elementi desunti d</w:t>
      </w:r>
      <w:r>
        <w:rPr>
          <w:color w:val="000000"/>
          <w:sz w:val="20"/>
          <w:szCs w:val="20"/>
        </w:rPr>
        <w:t>alla diagnosi.</w:t>
      </w:r>
    </w:p>
  </w:footnote>
  <w:footnote w:id="5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Questa sezione può essere compilata in sede di valutazione intermedia</w:t>
      </w:r>
    </w:p>
  </w:footnote>
  <w:footnote w:id="6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 corrispondenza di ciascuna disciplina il docente indica se essa è Orale/Orale e Scritta/Orale e Pratica/Orale, Scritta e Pratica</w:t>
      </w:r>
    </w:p>
  </w:footnote>
  <w:footnote w:id="7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Le misure dispensative utilizzate in fase di verifica scritta (tempi più lunghi - riduzione/selezione) possono essere utilizzate separatamente o entrambe purché la dispensa complessiva non superi il 30% del tempo/punteggio.</w:t>
      </w:r>
    </w:p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fa presente che nelle O.M. r</w:t>
      </w:r>
      <w:r>
        <w:rPr>
          <w:color w:val="000000"/>
          <w:sz w:val="20"/>
          <w:szCs w:val="20"/>
        </w:rPr>
        <w:t xml:space="preserve">elative agli Esami di Stato viene regolarmente indicata come unica misura dispensativa prevista in fase di prova scritta per studenti con DSA (certificato ai sensi della L. 170/2010) l’uso di tempi più lunghi. Non sono previste misure dispensative in fase </w:t>
      </w:r>
      <w:r>
        <w:rPr>
          <w:color w:val="000000"/>
          <w:sz w:val="20"/>
          <w:szCs w:val="20"/>
        </w:rPr>
        <w:t xml:space="preserve">di prova scritta all’Esame di Stato per studenti con BES o DS non rientranti nella L. 170/2010 (si veda ad es. l’O.M. 350_18 Art. 23). </w:t>
      </w:r>
    </w:p>
  </w:footnote>
  <w:footnote w:id="8">
    <w:p w:rsidR="00970506" w:rsidRDefault="00C20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Purché visionate dal docente con sufficiente anticipo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506" w:rsidRDefault="0097050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3F0"/>
    <w:multiLevelType w:val="multilevel"/>
    <w:tmpl w:val="2D8E1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C7917"/>
    <w:multiLevelType w:val="multilevel"/>
    <w:tmpl w:val="6F244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7F4834"/>
    <w:multiLevelType w:val="multilevel"/>
    <w:tmpl w:val="815E6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CE2761"/>
    <w:multiLevelType w:val="multilevel"/>
    <w:tmpl w:val="E71A6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182C57"/>
    <w:multiLevelType w:val="multilevel"/>
    <w:tmpl w:val="9E8C1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6E088D"/>
    <w:multiLevelType w:val="multilevel"/>
    <w:tmpl w:val="8E72116C"/>
    <w:lvl w:ilvl="0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56" w:hanging="125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6" w:hanging="19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696" w:hanging="26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416" w:hanging="341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6" w:hanging="41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856" w:hanging="48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576" w:hanging="557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6" w:hanging="62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06D12C06"/>
    <w:multiLevelType w:val="multilevel"/>
    <w:tmpl w:val="39B66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2C11C2"/>
    <w:multiLevelType w:val="multilevel"/>
    <w:tmpl w:val="E4647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95377D2"/>
    <w:multiLevelType w:val="multilevel"/>
    <w:tmpl w:val="19C297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7B4C0C"/>
    <w:multiLevelType w:val="multilevel"/>
    <w:tmpl w:val="50C85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B492FC9"/>
    <w:multiLevelType w:val="multilevel"/>
    <w:tmpl w:val="E2883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0AD61D2"/>
    <w:multiLevelType w:val="multilevel"/>
    <w:tmpl w:val="116EEC5C"/>
    <w:lvl w:ilvl="0">
      <w:start w:val="1"/>
      <w:numFmt w:val="bullet"/>
      <w:lvlText w:val="∙"/>
      <w:lvlJc w:val="left"/>
      <w:pPr>
        <w:ind w:left="927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5227F6E"/>
    <w:multiLevelType w:val="multilevel"/>
    <w:tmpl w:val="FB8A67B0"/>
    <w:lvl w:ilvl="0">
      <w:start w:val="1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7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9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171B20F0"/>
    <w:multiLevelType w:val="multilevel"/>
    <w:tmpl w:val="C1B61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8005AFF"/>
    <w:multiLevelType w:val="multilevel"/>
    <w:tmpl w:val="51FC9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8F9379C"/>
    <w:multiLevelType w:val="multilevel"/>
    <w:tmpl w:val="3A0C4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C870FB4"/>
    <w:multiLevelType w:val="multilevel"/>
    <w:tmpl w:val="30C43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01A338C"/>
    <w:multiLevelType w:val="multilevel"/>
    <w:tmpl w:val="90440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20A0343"/>
    <w:multiLevelType w:val="multilevel"/>
    <w:tmpl w:val="B38C8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3287E47"/>
    <w:multiLevelType w:val="multilevel"/>
    <w:tmpl w:val="7A30E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4852E07"/>
    <w:multiLevelType w:val="multilevel"/>
    <w:tmpl w:val="E116B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FA7CB7"/>
    <w:multiLevelType w:val="multilevel"/>
    <w:tmpl w:val="B32E6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7FF1B65"/>
    <w:multiLevelType w:val="multilevel"/>
    <w:tmpl w:val="521A0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AA8253D"/>
    <w:multiLevelType w:val="multilevel"/>
    <w:tmpl w:val="8CE21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BD7087D"/>
    <w:multiLevelType w:val="multilevel"/>
    <w:tmpl w:val="9FA4F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D722AF7"/>
    <w:multiLevelType w:val="multilevel"/>
    <w:tmpl w:val="1040C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E355195"/>
    <w:multiLevelType w:val="multilevel"/>
    <w:tmpl w:val="2D9E7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F157FBC"/>
    <w:multiLevelType w:val="multilevel"/>
    <w:tmpl w:val="53B4A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2C165C5"/>
    <w:multiLevelType w:val="multilevel"/>
    <w:tmpl w:val="E2A80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3A91B33"/>
    <w:multiLevelType w:val="multilevel"/>
    <w:tmpl w:val="4D261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50677D4"/>
    <w:multiLevelType w:val="multilevel"/>
    <w:tmpl w:val="8FEA8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5577E96"/>
    <w:multiLevelType w:val="multilevel"/>
    <w:tmpl w:val="35F2F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6BF0E46"/>
    <w:multiLevelType w:val="multilevel"/>
    <w:tmpl w:val="96303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98551AD"/>
    <w:multiLevelType w:val="multilevel"/>
    <w:tmpl w:val="5E649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1D5491E"/>
    <w:multiLevelType w:val="multilevel"/>
    <w:tmpl w:val="ABAC6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1DD6E65"/>
    <w:multiLevelType w:val="multilevel"/>
    <w:tmpl w:val="F2D21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27F3BA5"/>
    <w:multiLevelType w:val="multilevel"/>
    <w:tmpl w:val="F248416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44F6440B"/>
    <w:multiLevelType w:val="multilevel"/>
    <w:tmpl w:val="2F1EE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8077615"/>
    <w:multiLevelType w:val="multilevel"/>
    <w:tmpl w:val="9E941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BC80323"/>
    <w:multiLevelType w:val="multilevel"/>
    <w:tmpl w:val="17522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3286F55"/>
    <w:multiLevelType w:val="multilevel"/>
    <w:tmpl w:val="D5EA1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4DE1020"/>
    <w:multiLevelType w:val="multilevel"/>
    <w:tmpl w:val="81261548"/>
    <w:lvl w:ilvl="0">
      <w:start w:val="1"/>
      <w:numFmt w:val="bullet"/>
      <w:lvlText w:val="◻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2" w15:restartNumberingAfterBreak="0">
    <w:nsid w:val="564D15A4"/>
    <w:multiLevelType w:val="multilevel"/>
    <w:tmpl w:val="AC6E7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BA3395B"/>
    <w:multiLevelType w:val="multilevel"/>
    <w:tmpl w:val="47C01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2342252"/>
    <w:multiLevelType w:val="multilevel"/>
    <w:tmpl w:val="B118964A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5" w15:restartNumberingAfterBreak="0">
    <w:nsid w:val="643B68DC"/>
    <w:multiLevelType w:val="multilevel"/>
    <w:tmpl w:val="29F86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5FA0417"/>
    <w:multiLevelType w:val="multilevel"/>
    <w:tmpl w:val="2CFC4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8F67F3C"/>
    <w:multiLevelType w:val="multilevel"/>
    <w:tmpl w:val="EA4CE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BEA430C"/>
    <w:multiLevelType w:val="multilevel"/>
    <w:tmpl w:val="C46C0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E4A4EB0"/>
    <w:multiLevelType w:val="multilevel"/>
    <w:tmpl w:val="FC9EC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ED944E3"/>
    <w:multiLevelType w:val="multilevel"/>
    <w:tmpl w:val="00A62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0E020A3"/>
    <w:multiLevelType w:val="multilevel"/>
    <w:tmpl w:val="7D56B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27B2A64"/>
    <w:multiLevelType w:val="multilevel"/>
    <w:tmpl w:val="0D281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4AF1CB9"/>
    <w:multiLevelType w:val="multilevel"/>
    <w:tmpl w:val="2F0AF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68C321B"/>
    <w:multiLevelType w:val="multilevel"/>
    <w:tmpl w:val="FC92F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9A57B52"/>
    <w:multiLevelType w:val="multilevel"/>
    <w:tmpl w:val="873CA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BFD797D"/>
    <w:multiLevelType w:val="multilevel"/>
    <w:tmpl w:val="254C3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CBF71DE"/>
    <w:multiLevelType w:val="multilevel"/>
    <w:tmpl w:val="3830D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F0116D1"/>
    <w:multiLevelType w:val="multilevel"/>
    <w:tmpl w:val="1A74219C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9" w15:restartNumberingAfterBreak="0">
    <w:nsid w:val="7F1F17F6"/>
    <w:multiLevelType w:val="multilevel"/>
    <w:tmpl w:val="00946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FA357BB"/>
    <w:multiLevelType w:val="multilevel"/>
    <w:tmpl w:val="D1F2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CD32DA"/>
    <w:multiLevelType w:val="multilevel"/>
    <w:tmpl w:val="04B60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37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4"/>
  </w:num>
  <w:num w:numId="8">
    <w:abstractNumId w:val="24"/>
  </w:num>
  <w:num w:numId="9">
    <w:abstractNumId w:val="3"/>
  </w:num>
  <w:num w:numId="10">
    <w:abstractNumId w:val="12"/>
  </w:num>
  <w:num w:numId="11">
    <w:abstractNumId w:val="23"/>
  </w:num>
  <w:num w:numId="12">
    <w:abstractNumId w:val="46"/>
  </w:num>
  <w:num w:numId="13">
    <w:abstractNumId w:val="17"/>
  </w:num>
  <w:num w:numId="14">
    <w:abstractNumId w:val="0"/>
  </w:num>
  <w:num w:numId="15">
    <w:abstractNumId w:val="18"/>
  </w:num>
  <w:num w:numId="16">
    <w:abstractNumId w:val="15"/>
  </w:num>
  <w:num w:numId="17">
    <w:abstractNumId w:val="34"/>
  </w:num>
  <w:num w:numId="18">
    <w:abstractNumId w:val="6"/>
  </w:num>
  <w:num w:numId="19">
    <w:abstractNumId w:val="13"/>
  </w:num>
  <w:num w:numId="20">
    <w:abstractNumId w:val="61"/>
  </w:num>
  <w:num w:numId="21">
    <w:abstractNumId w:val="22"/>
  </w:num>
  <w:num w:numId="22">
    <w:abstractNumId w:val="50"/>
  </w:num>
  <w:num w:numId="23">
    <w:abstractNumId w:val="2"/>
  </w:num>
  <w:num w:numId="24">
    <w:abstractNumId w:val="30"/>
  </w:num>
  <w:num w:numId="25">
    <w:abstractNumId w:val="60"/>
  </w:num>
  <w:num w:numId="26">
    <w:abstractNumId w:val="56"/>
  </w:num>
  <w:num w:numId="27">
    <w:abstractNumId w:val="16"/>
  </w:num>
  <w:num w:numId="28">
    <w:abstractNumId w:val="54"/>
  </w:num>
  <w:num w:numId="29">
    <w:abstractNumId w:val="39"/>
  </w:num>
  <w:num w:numId="30">
    <w:abstractNumId w:val="42"/>
  </w:num>
  <w:num w:numId="31">
    <w:abstractNumId w:val="55"/>
  </w:num>
  <w:num w:numId="32">
    <w:abstractNumId w:val="51"/>
  </w:num>
  <w:num w:numId="33">
    <w:abstractNumId w:val="40"/>
  </w:num>
  <w:num w:numId="34">
    <w:abstractNumId w:val="45"/>
  </w:num>
  <w:num w:numId="35">
    <w:abstractNumId w:val="7"/>
  </w:num>
  <w:num w:numId="36">
    <w:abstractNumId w:val="26"/>
  </w:num>
  <w:num w:numId="37">
    <w:abstractNumId w:val="44"/>
  </w:num>
  <w:num w:numId="38">
    <w:abstractNumId w:val="5"/>
  </w:num>
  <w:num w:numId="39">
    <w:abstractNumId w:val="41"/>
  </w:num>
  <w:num w:numId="40">
    <w:abstractNumId w:val="52"/>
  </w:num>
  <w:num w:numId="41">
    <w:abstractNumId w:val="59"/>
  </w:num>
  <w:num w:numId="42">
    <w:abstractNumId w:val="53"/>
  </w:num>
  <w:num w:numId="43">
    <w:abstractNumId w:val="21"/>
  </w:num>
  <w:num w:numId="44">
    <w:abstractNumId w:val="58"/>
  </w:num>
  <w:num w:numId="45">
    <w:abstractNumId w:val="47"/>
  </w:num>
  <w:num w:numId="46">
    <w:abstractNumId w:val="31"/>
  </w:num>
  <w:num w:numId="47">
    <w:abstractNumId w:val="36"/>
  </w:num>
  <w:num w:numId="48">
    <w:abstractNumId w:val="57"/>
  </w:num>
  <w:num w:numId="49">
    <w:abstractNumId w:val="38"/>
  </w:num>
  <w:num w:numId="50">
    <w:abstractNumId w:val="49"/>
  </w:num>
  <w:num w:numId="51">
    <w:abstractNumId w:val="48"/>
  </w:num>
  <w:num w:numId="52">
    <w:abstractNumId w:val="33"/>
  </w:num>
  <w:num w:numId="53">
    <w:abstractNumId w:val="29"/>
  </w:num>
  <w:num w:numId="54">
    <w:abstractNumId w:val="14"/>
  </w:num>
  <w:num w:numId="55">
    <w:abstractNumId w:val="9"/>
  </w:num>
  <w:num w:numId="56">
    <w:abstractNumId w:val="10"/>
  </w:num>
  <w:num w:numId="57">
    <w:abstractNumId w:val="28"/>
  </w:num>
  <w:num w:numId="58">
    <w:abstractNumId w:val="1"/>
  </w:num>
  <w:num w:numId="59">
    <w:abstractNumId w:val="43"/>
  </w:num>
  <w:num w:numId="60">
    <w:abstractNumId w:val="8"/>
  </w:num>
  <w:num w:numId="61">
    <w:abstractNumId w:val="19"/>
  </w:num>
  <w:num w:numId="62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06"/>
    <w:rsid w:val="00970506"/>
    <w:rsid w:val="00C202AB"/>
    <w:rsid w:val="00D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E352F-8C4C-44BD-A99B-F5C5DEA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3">
    <w:name w:val="heading 3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1992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Rigardo</cp:lastModifiedBy>
  <cp:revision>2</cp:revision>
  <dcterms:created xsi:type="dcterms:W3CDTF">2023-10-17T08:32:00Z</dcterms:created>
  <dcterms:modified xsi:type="dcterms:W3CDTF">2023-10-17T08:32:00Z</dcterms:modified>
</cp:coreProperties>
</file>